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18 декабря 2025 г. N 3867-р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hyperlink w:history="0" w:anchor="P2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00" w:lineRule="auto"/>
        <w:ind w:firstLine="540"/>
        <w:jc w:val="both"/>
      </w:pPr>
      <w:hyperlink w:history="0" w:anchor="P362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минимальный </w:t>
      </w:r>
      <w:hyperlink w:history="0" w:anchor="P4020" w:tooltip="МИНИМАЛЬНЫЙ АССОРТИМЕНТ">
        <w:r>
          <w:rPr>
            <w:sz w:val="20"/>
            <w:color w:val="0000ff"/>
          </w:rPr>
          <w:t xml:space="preserve">ассортимент</w:t>
        </w:r>
      </w:hyperlink>
      <w:r>
        <w:rPr>
          <w:sz w:val="20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и его комбинации с витаминами B</w:t>
            </w:r>
            <w:r>
              <w:rPr>
                <w:sz w:val="20"/>
                <w:vertAlign w:val="subscript"/>
              </w:rPr>
              <w:t xml:space="preserve">6</w:t>
            </w:r>
            <w:r>
              <w:rPr>
                <w:sz w:val="20"/>
              </w:rPr>
              <w:t xml:space="preserve"> и B</w:t>
            </w:r>
            <w:r>
              <w:rPr>
                <w:sz w:val="20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</w:t>
            </w:r>
            <w:r>
              <w:rPr>
                <w:position w:val="-8"/>
              </w:rPr>
              <w:drawing>
                <wp:inline distT="0" distB="0" distL="0" distR="0">
                  <wp:extent cx="1238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0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0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0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0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0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0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0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0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0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болезнью Гоше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0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0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0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0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0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0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0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0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0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0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0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0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0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0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0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0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jc w:val="both"/>
      </w:pPr>
      <w:r>
        <w:rPr>
          <w:sz w:val="20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s://login.consultant.ru/link/?req=doc&amp;base=LAW&amp;n=496460" TargetMode = "External"/><Relationship Id="rId10" Type="http://schemas.openxmlformats.org/officeDocument/2006/relationships/hyperlink" Target="https://login.consultant.ru/link/?req=doc&amp;base=LAW&amp;n=351419" TargetMode = "External"/><Relationship Id="rId11" Type="http://schemas.openxmlformats.org/officeDocument/2006/relationships/hyperlink" Target="https://login.consultant.ru/link/?req=doc&amp;base=LAW&amp;n=365006" TargetMode = "External"/><Relationship Id="rId12" Type="http://schemas.openxmlformats.org/officeDocument/2006/relationships/hyperlink" Target="https://login.consultant.ru/link/?req=doc&amp;base=LAW&amp;n=368666" TargetMode = "External"/><Relationship Id="rId13" Type="http://schemas.openxmlformats.org/officeDocument/2006/relationships/hyperlink" Target="https://login.consultant.ru/link/?req=doc&amp;base=LAW&amp;n=404667" TargetMode = "External"/><Relationship Id="rId14" Type="http://schemas.openxmlformats.org/officeDocument/2006/relationships/hyperlink" Target="https://login.consultant.ru/link/?req=doc&amp;base=LAW&amp;n=413192" TargetMode = "External"/><Relationship Id="rId15" Type="http://schemas.openxmlformats.org/officeDocument/2006/relationships/hyperlink" Target="https://login.consultant.ru/link/?req=doc&amp;base=LAW&amp;n=425148" TargetMode = "External"/><Relationship Id="rId16" Type="http://schemas.openxmlformats.org/officeDocument/2006/relationships/hyperlink" Target="https://login.consultant.ru/link/?req=doc&amp;base=LAW&amp;n=428641" TargetMode = "External"/><Relationship Id="rId17" Type="http://schemas.openxmlformats.org/officeDocument/2006/relationships/hyperlink" Target="https://login.consultant.ru/link/?req=doc&amp;base=LAW&amp;n=435905" TargetMode = "External"/><Relationship Id="rId18" Type="http://schemas.openxmlformats.org/officeDocument/2006/relationships/hyperlink" Target="https://login.consultant.ru/link/?req=doc&amp;base=LAW&amp;n=449320" TargetMode = "External"/><Relationship Id="rId19" Type="http://schemas.openxmlformats.org/officeDocument/2006/relationships/hyperlink" Target="https://login.consultant.ru/link/?req=doc&amp;base=LAW&amp;n=474738" TargetMode = "External"/><Relationship Id="rId20" Type="http://schemas.openxmlformats.org/officeDocument/2006/relationships/hyperlink" Target="https://login.consultant.ru/link/?req=doc&amp;base=LAW&amp;n=49638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2026-03-16T12:14:46Z</dcterms:created>
</cp:coreProperties>
</file>